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052" w:rsidRDefault="00733052" w:rsidP="006A7A5F">
      <w:pPr>
        <w:jc w:val="center"/>
      </w:pPr>
    </w:p>
    <w:p w:rsidR="00733052" w:rsidRDefault="00733052" w:rsidP="006A7A5F">
      <w:pPr>
        <w:jc w:val="center"/>
      </w:pPr>
    </w:p>
    <w:p w:rsidR="00733052" w:rsidRDefault="00733052" w:rsidP="006A7A5F">
      <w:pPr>
        <w:jc w:val="center"/>
      </w:pPr>
    </w:p>
    <w:p w:rsidR="00733052" w:rsidRDefault="00733052" w:rsidP="006A7A5F">
      <w:pPr>
        <w:jc w:val="center"/>
      </w:pPr>
    </w:p>
    <w:p w:rsidR="00C175C7" w:rsidRDefault="006A7A5F" w:rsidP="006A7A5F">
      <w:pPr>
        <w:jc w:val="center"/>
      </w:pPr>
      <w:bookmarkStart w:id="0" w:name="_GoBack"/>
      <w:bookmarkEnd w:id="0"/>
      <w:r>
        <w:t>Healthy People 2020</w:t>
      </w:r>
    </w:p>
    <w:p w:rsidR="006A7A5F" w:rsidRDefault="006A7A5F" w:rsidP="006A7A5F">
      <w:pPr>
        <w:jc w:val="center"/>
      </w:pPr>
      <w:r>
        <w:t>Name</w:t>
      </w:r>
    </w:p>
    <w:p w:rsidR="006A7A5F" w:rsidRDefault="006A7A5F" w:rsidP="006A7A5F">
      <w:pPr>
        <w:jc w:val="center"/>
      </w:pPr>
      <w:r>
        <w:t>Institutional Affiliation</w:t>
      </w:r>
    </w:p>
    <w:p w:rsidR="006A7A5F" w:rsidRDefault="006A7A5F" w:rsidP="006A7A5F">
      <w:pPr>
        <w:jc w:val="center"/>
      </w:pPr>
      <w:r>
        <w:t>Date</w:t>
      </w:r>
    </w:p>
    <w:p w:rsidR="00C175C7" w:rsidRDefault="00C175C7" w:rsidP="006A7A5F">
      <w:r>
        <w:br w:type="page"/>
      </w:r>
    </w:p>
    <w:p w:rsidR="003966EF" w:rsidRDefault="00963B06" w:rsidP="006A7A5F">
      <w:pPr>
        <w:jc w:val="center"/>
      </w:pPr>
      <w:r>
        <w:lastRenderedPageBreak/>
        <w:t>Healthy People 2020</w:t>
      </w:r>
    </w:p>
    <w:p w:rsidR="00D16AFA" w:rsidRDefault="00963B06" w:rsidP="006A7A5F">
      <w:pPr>
        <w:ind w:firstLine="720"/>
      </w:pPr>
      <w:r>
        <w:t xml:space="preserve">The Healthy People 2020 program represents the United States vision for a more robust future. Every decade, the program creates a public health policy and objectives by establishing a wide range of primary health goals while specifying actions to improve the length and quality of life. Launched in 2010, the current program will run for the next 10 years. The current agenda of the initiative is encompassed into numerous objectives, which are organized into 42 focus areas. The Healthy People 2020 initiative identifies four overarching goals. The first goal is the attainment of more </w:t>
      </w:r>
      <w:proofErr w:type="gramStart"/>
      <w:r>
        <w:t>extended,</w:t>
      </w:r>
      <w:proofErr w:type="gramEnd"/>
      <w:r>
        <w:t xml:space="preserve"> and high quality lives free from preventable illnesses, disability, injury, and premature death. The second goal states that the initiative hopes to achieve health equity, eliminate disparities, and improve the health of all groups of people. Creation of social and physical environments that promote good health for all is the third overarching goals. Finally, the fourth overarching goal of the Healthy People 2020 initiative is the promotion of quality life, healthy development, and healthy behaviors in all stages of life. In addition to these overarching goals, the effort also identifies several factors that determine the healthiness of individuals. These determinants of health are policymaking, social factors, health services, individual behavior, as well as the biological and genetic composition of individuals. These determinants suggest why some people are healthy while others are unhealthy</w:t>
      </w:r>
      <w:r w:rsidR="00BF6B3E">
        <w:t xml:space="preserve"> </w:t>
      </w:r>
      <w:r w:rsidR="00BF6B3E" w:rsidRPr="00BF6B3E">
        <w:t>(Shi &amp; Singh, 2017)</w:t>
      </w:r>
      <w:r>
        <w:t>. Further, these determinants advise on policies to create a society in which all people have an equal opportunity to live a long healthy life. It is thus essential to establish how the objectives, overarching goals, and determinants identified by the Healthy People 2020 initiative have improved the healthcare system, and equally determine if there is potential to make further progress and achieve better health outcomes in the future.</w:t>
      </w:r>
    </w:p>
    <w:p w:rsidR="004033B5" w:rsidRDefault="00963B06" w:rsidP="006A7A5F">
      <w:pPr>
        <w:ind w:firstLine="720"/>
      </w:pPr>
      <w:r>
        <w:lastRenderedPageBreak/>
        <w:t xml:space="preserve">The United State healthcare system has made deliberate efforts to improve the health status of the citizens. Among the initiatives that the healthcare system has made is the formulation of policy changes. Policy changes made at the local, state or the national level of government affect the health of both the individual and the community. Some policies that authorities adopt affect the healthiness of communities over extended periods, while at the same time help to change individual behaviors. According to </w:t>
      </w:r>
      <w:r w:rsidR="003070AF">
        <w:t>Johnson,</w:t>
      </w:r>
      <w:r w:rsidR="003070AF" w:rsidRPr="003070AF">
        <w:t xml:space="preserve"> et al.</w:t>
      </w:r>
      <w:r>
        <w:t xml:space="preserve"> policy changes adopted by Florida led to a 16.7 percent decrease in the number of drug overdose-related fatalities</w:t>
      </w:r>
      <w:r w:rsidR="003070AF">
        <w:t xml:space="preserve"> in the period </w:t>
      </w:r>
      <w:proofErr w:type="gramStart"/>
      <w:r w:rsidR="003070AF">
        <w:t xml:space="preserve">between </w:t>
      </w:r>
      <w:r>
        <w:t>2010-2012</w:t>
      </w:r>
      <w:proofErr w:type="gramEnd"/>
      <w:r>
        <w:t xml:space="preserve">. The study shows that while deaths due to prescription pain relievers had reached high levels, the policy changes that the state formulated led to the closure of numerous pain clinics, ultimately leading to a reduction of the number of deaths associated with these drugs. This is evidence that the healthcare system in collaboration with other law enforcement agencies has formulated policies that have led to improved health outcomes for the citizens. </w:t>
      </w:r>
    </w:p>
    <w:p w:rsidR="0028419E" w:rsidRDefault="00963B06" w:rsidP="006A7A5F">
      <w:pPr>
        <w:ind w:firstLine="720"/>
      </w:pPr>
      <w:r>
        <w:t xml:space="preserve">Another aspect that has led to the improvement of the health status is the improvement of the social determinants of health. Social determinants of health are related to the contributing factors and conditions in which individuals live and work. These include aspects like socioeconomic status, education, the </w:t>
      </w:r>
      <w:r w:rsidRPr="00E45734">
        <w:t>physical surroundings</w:t>
      </w:r>
      <w:r>
        <w:t>, nature of work</w:t>
      </w:r>
      <w:r w:rsidRPr="00E45734">
        <w:t>, and social support networks, as well as access to health care</w:t>
      </w:r>
      <w:r>
        <w:t xml:space="preserve">. According to the Healthy People Initiative, </w:t>
      </w:r>
      <w:r w:rsidRPr="00A976A0">
        <w:t>“health disparities adversely affect groups of people who have systematically experienced greater obstacles to health based on their racial or ethnic group; religion; socioeconomic status; gender; age; mental health; cognitive, sensory, or physical disability; sexual orientation or gender identity; geographic location; or other characteristics historically linked</w:t>
      </w:r>
      <w:r w:rsidR="004F7F4E">
        <w:t xml:space="preserve"> to discrimination or exclusion</w:t>
      </w:r>
      <w:r w:rsidRPr="00A976A0">
        <w:t>”</w:t>
      </w:r>
      <w:r w:rsidR="004F7F4E">
        <w:t xml:space="preserve"> </w:t>
      </w:r>
      <w:r w:rsidR="004F7F4E" w:rsidRPr="004F7F4E">
        <w:t>(Healthy People 2020, 2018)</w:t>
      </w:r>
      <w:r w:rsidR="004F7F4E">
        <w:t>.</w:t>
      </w:r>
      <w:r>
        <w:t xml:space="preserve"> As such, to improve the quality of healthcare and health </w:t>
      </w:r>
      <w:r>
        <w:lastRenderedPageBreak/>
        <w:t>outcomes, the healthcare industry has embarked on several initiatives to combat the adverse effects that emanate from social determinants of health. The Camden population in New Jersey has historically had poor access to health care and a high rate of hospital visits for preventable illnesses. In response to this challenge, the Camden Coalition of Health Care created a program that uses social workers to help identify and address both medical and social needs within the community</w:t>
      </w:r>
      <w:r w:rsidR="001821CC">
        <w:t xml:space="preserve"> (</w:t>
      </w:r>
      <w:proofErr w:type="spellStart"/>
      <w:r w:rsidR="001821CC" w:rsidRPr="00742357">
        <w:t>Heim</w:t>
      </w:r>
      <w:r w:rsidR="001821CC">
        <w:t>an</w:t>
      </w:r>
      <w:proofErr w:type="spellEnd"/>
      <w:r w:rsidR="001821CC">
        <w:t xml:space="preserve"> &amp; </w:t>
      </w:r>
      <w:proofErr w:type="spellStart"/>
      <w:r w:rsidR="001821CC">
        <w:t>Artiga</w:t>
      </w:r>
      <w:proofErr w:type="spellEnd"/>
      <w:r w:rsidR="001821CC">
        <w:t>, 2015).</w:t>
      </w:r>
      <w:r>
        <w:t xml:space="preserve"> The results of this initiative show that patients managed through this program have experienced improved health conditions. At the physical environment level, the Colorado Health Foundation runs a program that supports physical activity with the aim of reducing obesity by building playgrounds, walking trails, and new parks. By undertaking these initiatives, the healthcare system reduces the adverse effects that emanate from social determinants of health and ultimately improves the health of the community. </w:t>
      </w:r>
    </w:p>
    <w:p w:rsidR="00A07F80" w:rsidRDefault="00963B06" w:rsidP="006A7A5F">
      <w:pPr>
        <w:ind w:firstLine="720"/>
      </w:pPr>
      <w:r>
        <w:t>Another critical factor in the improvement of the health status is the ability of the citizens to access quality health services, something that the American healthcare system has done in alignment with the determinants established by the Healthy People 2020. With the expanded health care coverage resulting from the Affordable Care Act (ACA), the United States Department of Health and Human Services (HHS) has now focused on augmenting health reforms in three ways. The department is using incentives to motivate higher-value care, changing healthcare services delivery by coordinating providers across different settings and harnessing the power of information to</w:t>
      </w:r>
      <w:r w:rsidR="00676CCC">
        <w:t xml:space="preserve"> improve care for the patients (</w:t>
      </w:r>
      <w:r w:rsidR="00676CCC" w:rsidRPr="00676CCC">
        <w:t>Burwell</w:t>
      </w:r>
      <w:r w:rsidR="00676CCC">
        <w:t>, 2015).</w:t>
      </w:r>
      <w:r>
        <w:t xml:space="preserve">Through these initiatives, the department and the American healthcare systems hope to have 90 percent of all Medicare fee-for-service </w:t>
      </w:r>
      <w:r w:rsidRPr="00681D11">
        <w:t>payments tied to quality</w:t>
      </w:r>
      <w:r>
        <w:t xml:space="preserve"> or value by the end of </w:t>
      </w:r>
      <w:r w:rsidRPr="00681D11">
        <w:t>2018</w:t>
      </w:r>
      <w:r w:rsidR="00676CCC">
        <w:t xml:space="preserve"> (</w:t>
      </w:r>
      <w:r w:rsidR="00FE000D" w:rsidRPr="00676CCC">
        <w:t>Burwell</w:t>
      </w:r>
      <w:r w:rsidR="00FE000D">
        <w:t>, 2015</w:t>
      </w:r>
      <w:r w:rsidR="00676CCC">
        <w:t>)</w:t>
      </w:r>
      <w:r>
        <w:t xml:space="preserve">. Through this initiative, health care providers are </w:t>
      </w:r>
      <w:r w:rsidRPr="00447D8E">
        <w:t>accountable for the quality and</w:t>
      </w:r>
      <w:r>
        <w:t xml:space="preserve"> </w:t>
      </w:r>
      <w:r w:rsidRPr="00447D8E">
        <w:t>cost of the care they deliver to</w:t>
      </w:r>
      <w:r>
        <w:t xml:space="preserve"> </w:t>
      </w:r>
      <w:r w:rsidRPr="00447D8E">
        <w:t>patients.</w:t>
      </w:r>
      <w:r>
        <w:t xml:space="preserve"> Undoubtedly, this is the first time in </w:t>
      </w:r>
      <w:r w:rsidRPr="00377ECF">
        <w:t xml:space="preserve">the history of the program </w:t>
      </w:r>
      <w:r w:rsidRPr="00377ECF">
        <w:lastRenderedPageBreak/>
        <w:t>that</w:t>
      </w:r>
      <w:r>
        <w:t xml:space="preserve"> </w:t>
      </w:r>
      <w:r w:rsidRPr="00377ECF">
        <w:t>explicit goals for alternative payment</w:t>
      </w:r>
      <w:r>
        <w:t xml:space="preserve"> </w:t>
      </w:r>
      <w:r w:rsidRPr="00377ECF">
        <w:t>models and value-based</w:t>
      </w:r>
      <w:r>
        <w:t xml:space="preserve"> </w:t>
      </w:r>
      <w:r w:rsidRPr="00377ECF">
        <w:t xml:space="preserve">payments have been set for </w:t>
      </w:r>
      <w:r>
        <w:t xml:space="preserve">the </w:t>
      </w:r>
      <w:r w:rsidRPr="00377ECF">
        <w:t>Medicare</w:t>
      </w:r>
      <w:r>
        <w:t xml:space="preserve"> program</w:t>
      </w:r>
      <w:r w:rsidRPr="00377ECF">
        <w:t>.</w:t>
      </w:r>
      <w:r>
        <w:t xml:space="preserve"> This collaboration between the various players in the healthcare industry is helping to accelerate the enhancement of quality service provision to the citizens. Through the efforts of the HHS, which is the department responsible for health services, it is clear that the American healthcare system is addressing the issue of accessible quality medical care for all, which the Healthy People 2020 recognizes to be a significant determinant.</w:t>
      </w:r>
    </w:p>
    <w:p w:rsidR="00146D87" w:rsidRDefault="00963B06" w:rsidP="006A7A5F">
      <w:pPr>
        <w:ind w:firstLine="720"/>
      </w:pPr>
      <w:r>
        <w:t xml:space="preserve">While it is clear that the American healthcare system has made efforts to improve the health status of the citizens through tackling issues raised by Healthy People 2020 initiative. It is however equally necessary to evaluate the progress made and attempt to predict if the American healthcare system can make further development and ultimately attain the goals set out in the Healthy People 2020 plan. In total, the Healthy People 2020 highlights 42 topic areas and 26 objectives known as the leading health indicators (LHI), which are used in the evaluation of the progress of the initiative and communication of high priority health services. Of the identified LHIs, 4 have met or exceeded their Healthy People 2020 targets, 10 indicate improvement, 8 </w:t>
      </w:r>
      <w:proofErr w:type="gramStart"/>
      <w:r>
        <w:t>exhibit</w:t>
      </w:r>
      <w:proofErr w:type="gramEnd"/>
      <w:r>
        <w:t xml:space="preserve"> little change, while 3 are getting worse (citation Book). </w:t>
      </w:r>
    </w:p>
    <w:p w:rsidR="000C520E" w:rsidRDefault="00963B06" w:rsidP="006A7A5F">
      <w:pPr>
        <w:ind w:firstLine="720"/>
      </w:pPr>
      <w:r>
        <w:t>Despite the numerous efforts within the health care system, the health services indicators have shown little improvement. While the number of people with health insurance cover increased since the introduction of the ACA, the intended target of 100 percent coverage is yet to be achieved. Similarly, access to primary health care has improved but is yet to reach the goals defined in the Healthy People 2020 initiative. Although the targets have not been achieved, there is a gradual improvement, and with enhanced efforts from key stakeholders within the healthcare system, the goals set in the Healthy People 2020 initiative are achievable.</w:t>
      </w:r>
    </w:p>
    <w:p w:rsidR="008626F1" w:rsidRDefault="00963B06" w:rsidP="006A7A5F">
      <w:pPr>
        <w:ind w:firstLine="720"/>
      </w:pPr>
      <w:r>
        <w:lastRenderedPageBreak/>
        <w:t xml:space="preserve">Many of the clinical prevention services have shown improvement. According to (Book ciation), the number of adults receiving colorectal cancer screenings, adults with high blood pressure whose blood pressure has been controlled, and children who are receiving the recommended vaccinations has increased significantly. These improvements align with the targets set in the Healthy People 2020 initiative. On the other hand, some indicators have not recorded any tangible gains. </w:t>
      </w:r>
      <w:r w:rsidR="002E42C1">
        <w:t xml:space="preserve">According to Shi &amp; Singh, 2017, </w:t>
      </w:r>
      <w:r>
        <w:t xml:space="preserve">the percentage of adults who have diabetes not reduced, instead it has stagnated. Despite these up and down shifts, there has been some notable progress. However, more needs to be done especially in the improvement of indicators associated with diseases like hypertension and diabetes. These conditions are mainly as a result of uninformed life choices like poor diet, lack of exercise and stress. As such, stakeholders in the healthcare industry need to make efforts to educate the citizens of the adverse effect of dangerous lifestyles, and ultimately, this will lead to the realization of positive outcomes. </w:t>
      </w:r>
    </w:p>
    <w:p w:rsidR="00116FF6" w:rsidRDefault="00963B06" w:rsidP="006A7A5F">
      <w:pPr>
        <w:ind w:firstLine="720"/>
      </w:pPr>
      <w:r>
        <w:t xml:space="preserve">About environmental indicators, which are associated with social determinants, positive results have been realized. As indicated by </w:t>
      </w:r>
      <w:r w:rsidR="00BF6B3E" w:rsidRPr="00BF6B3E">
        <w:t>S</w:t>
      </w:r>
      <w:r w:rsidR="00BF6B3E">
        <w:t>hi &amp; Singh, 2017</w:t>
      </w:r>
      <w:r>
        <w:t xml:space="preserve">, some ecological quality indicators have not only met their Healthy People 2020 targets but in reality, surpassed them. For example, the Air Quality Index, which evaluates variations in air quality by the number and severity of unhealthy days, by use of preset algorithms, has met its goals. Likewise, the target set by the Healthy People 2020 initiative for the reduction of the percentage of children exposed to second-hand tobacco smoke has been achieved. Further, the indicators for injury and violence exhibit improvement. Injuries have reduced by 43 percent while homicide incidences have declined by 13 percent, ultimately meeting the goals set out in the initiative. </w:t>
      </w:r>
    </w:p>
    <w:p w:rsidR="00E01F19" w:rsidRDefault="00963B06" w:rsidP="006A7A5F">
      <w:pPr>
        <w:ind w:firstLine="720"/>
      </w:pPr>
      <w:r>
        <w:lastRenderedPageBreak/>
        <w:t>Another notable improvement has been realized in the maternal and child health LHIs. The statistics for this LHI reveal a significant improvement, with infant deaths and total preterm live births almost achieving the targets set out in the Healthy People 2020 initiative. Conversely, the LHIs for mental illnesses appear to be significantly worse than anticipated. Suicide rates have increased by 7 percent, while the percentage of teenagers with major depression has risen by more than 10 percent</w:t>
      </w:r>
      <w:r w:rsidR="00BF6B3E">
        <w:t xml:space="preserve"> </w:t>
      </w:r>
      <w:r w:rsidR="00BF6B3E" w:rsidRPr="00BF6B3E">
        <w:t>(Shi &amp; Singh, 2017)</w:t>
      </w:r>
      <w:r>
        <w:t xml:space="preserve">. However, despite the negative results in some areas, the efforts being undertaken by the industry will ultimately result in outcomes that are more positive. While it might be difficult to achieve the targets as documented in the Healthy People 2020 program, it is safe to predict that the initiative will reach at least 85 percent of its objectives collectively.  </w:t>
      </w:r>
    </w:p>
    <w:p w:rsidR="002E42C1" w:rsidRDefault="00963B06" w:rsidP="006A7A5F">
      <w:pPr>
        <w:ind w:firstLine="720"/>
      </w:pPr>
      <w:r>
        <w:t xml:space="preserve">In summary, the health status of a nation plays a significant role in the development of the country. It is thus essential for any government to formulate policies that will improve their healthcare systems. These policies need to be all-inclusive so that they can integrate medical care with preventive and health promotion efforts. The Healthy People 2020 initiative in the United States is an example of a program that emanates from such a policy. In creating its 10-year-long goals, the effort identifies the determinants of health to be provision of health education, utilization of community health assessment, and the promotion of national initiatives. Programs like the Healthy People 2020 initiative require substantial amounts of resources to fulfill their mandate. However, the Healthy People 2020 program has been able to achieve significant development in the American health care system by collaborating with other stakeholders in the sector. Collaboration between government and non-governmental organizations (NGOs), in the American healthcare system, has led to the development of policies, improvement of social amenities, and provision of quality health services all of which are determinants of health. </w:t>
      </w:r>
      <w:r>
        <w:lastRenderedPageBreak/>
        <w:t xml:space="preserve">Through these collaborative efforts, most of the LHIs set out have been achieved, while more show improvement. However, some LHIs have not met their goals, and the hope is that with the continued collaboration within the American healthcare system, they will record positive improvements before the year 2020. </w:t>
      </w:r>
    </w:p>
    <w:p w:rsidR="002E42C1" w:rsidRDefault="002E42C1" w:rsidP="006A7A5F">
      <w:r>
        <w:br w:type="page"/>
      </w:r>
    </w:p>
    <w:p w:rsidR="00432C72" w:rsidRDefault="002E42C1" w:rsidP="006A7A5F">
      <w:pPr>
        <w:jc w:val="center"/>
      </w:pPr>
      <w:r>
        <w:lastRenderedPageBreak/>
        <w:t>References</w:t>
      </w:r>
    </w:p>
    <w:p w:rsidR="00676CCC" w:rsidRPr="00676CCC" w:rsidRDefault="00676CCC" w:rsidP="006A7A5F">
      <w:pPr>
        <w:ind w:left="720" w:hanging="720"/>
      </w:pPr>
      <w:r w:rsidRPr="00676CCC">
        <w:t xml:space="preserve">Burwell, S. M. (2015). </w:t>
      </w:r>
      <w:proofErr w:type="gramStart"/>
      <w:r w:rsidRPr="00676CCC">
        <w:t>Setting value-based payment goals—HHS efforts to improve US health care.</w:t>
      </w:r>
      <w:proofErr w:type="gramEnd"/>
      <w:r w:rsidRPr="00676CCC">
        <w:t> </w:t>
      </w:r>
      <w:r w:rsidRPr="00676CCC">
        <w:rPr>
          <w:i/>
          <w:iCs/>
        </w:rPr>
        <w:t xml:space="preserve">N </w:t>
      </w:r>
      <w:proofErr w:type="spellStart"/>
      <w:r w:rsidRPr="00676CCC">
        <w:rPr>
          <w:i/>
          <w:iCs/>
        </w:rPr>
        <w:t>Engl</w:t>
      </w:r>
      <w:proofErr w:type="spellEnd"/>
      <w:r w:rsidRPr="00676CCC">
        <w:rPr>
          <w:i/>
          <w:iCs/>
        </w:rPr>
        <w:t xml:space="preserve"> J Med</w:t>
      </w:r>
      <w:r w:rsidRPr="00676CCC">
        <w:t>, </w:t>
      </w:r>
      <w:r w:rsidRPr="00676CCC">
        <w:rPr>
          <w:i/>
          <w:iCs/>
        </w:rPr>
        <w:t>372</w:t>
      </w:r>
      <w:r w:rsidRPr="00676CCC">
        <w:t>(10), 897-899</w:t>
      </w:r>
    </w:p>
    <w:p w:rsidR="00676CCC" w:rsidRDefault="00676CCC" w:rsidP="006A7A5F">
      <w:pPr>
        <w:ind w:left="720" w:hanging="720"/>
      </w:pPr>
      <w:proofErr w:type="gramStart"/>
      <w:r w:rsidRPr="004F7F4E">
        <w:t>Healthy People 2020.</w:t>
      </w:r>
      <w:proofErr w:type="gramEnd"/>
      <w:r w:rsidRPr="004F7F4E">
        <w:t xml:space="preserve"> </w:t>
      </w:r>
      <w:proofErr w:type="gramStart"/>
      <w:r w:rsidRPr="004F7F4E">
        <w:t>(2018). </w:t>
      </w:r>
      <w:r w:rsidRPr="004F7F4E">
        <w:rPr>
          <w:i/>
          <w:iCs/>
        </w:rPr>
        <w:t>Disparities | Healthy People 2020</w:t>
      </w:r>
      <w:r w:rsidRPr="004F7F4E">
        <w:t>.</w:t>
      </w:r>
      <w:proofErr w:type="gramEnd"/>
      <w:r w:rsidRPr="004F7F4E">
        <w:t> </w:t>
      </w:r>
      <w:r w:rsidRPr="004F7F4E">
        <w:rPr>
          <w:i/>
          <w:iCs/>
        </w:rPr>
        <w:t>Healthypeople.gov</w:t>
      </w:r>
      <w:r w:rsidRPr="004F7F4E">
        <w:t xml:space="preserve">. Retrieved 10 March 2018, from </w:t>
      </w:r>
      <w:r w:rsidRPr="00C175C7">
        <w:t>https://www.healthypeople.gov/2020/about/foundation-health-measures/Disparities</w:t>
      </w:r>
    </w:p>
    <w:p w:rsidR="00676CCC" w:rsidRDefault="00676CCC" w:rsidP="006A7A5F">
      <w:pPr>
        <w:ind w:left="720" w:hanging="720"/>
      </w:pPr>
      <w:proofErr w:type="spellStart"/>
      <w:r w:rsidRPr="00742357">
        <w:t>Heiman</w:t>
      </w:r>
      <w:proofErr w:type="spellEnd"/>
      <w:r w:rsidRPr="00742357">
        <w:t xml:space="preserve">, H. J., &amp; </w:t>
      </w:r>
      <w:proofErr w:type="spellStart"/>
      <w:r w:rsidRPr="00742357">
        <w:t>Artiga</w:t>
      </w:r>
      <w:proofErr w:type="spellEnd"/>
      <w:r w:rsidRPr="00742357">
        <w:t>, S. (2015). Beyond health care: the role of social determinants in promoting health and health equity. </w:t>
      </w:r>
      <w:r w:rsidRPr="00742357">
        <w:rPr>
          <w:i/>
          <w:iCs/>
        </w:rPr>
        <w:t>Health</w:t>
      </w:r>
      <w:r w:rsidRPr="00742357">
        <w:t>, </w:t>
      </w:r>
      <w:r w:rsidRPr="00742357">
        <w:rPr>
          <w:i/>
          <w:iCs/>
        </w:rPr>
        <w:t>20</w:t>
      </w:r>
      <w:r w:rsidRPr="00742357">
        <w:t>(10), 1-10.</w:t>
      </w:r>
    </w:p>
    <w:p w:rsidR="00676CCC" w:rsidRDefault="00676CCC" w:rsidP="006A7A5F">
      <w:pPr>
        <w:ind w:left="720" w:hanging="720"/>
      </w:pPr>
      <w:proofErr w:type="gramStart"/>
      <w:r w:rsidRPr="000D0FF3">
        <w:t xml:space="preserve">Johnson, H., </w:t>
      </w:r>
      <w:proofErr w:type="spellStart"/>
      <w:r w:rsidRPr="000D0FF3">
        <w:t>Paulozzi</w:t>
      </w:r>
      <w:proofErr w:type="spellEnd"/>
      <w:r w:rsidRPr="000D0FF3">
        <w:t xml:space="preserve">, L., </w:t>
      </w:r>
      <w:proofErr w:type="spellStart"/>
      <w:r w:rsidRPr="000D0FF3">
        <w:t>Porucznik</w:t>
      </w:r>
      <w:proofErr w:type="spellEnd"/>
      <w:r w:rsidRPr="000D0FF3">
        <w:t>, C., Mack, K., &amp; Herter, B. (2014).</w:t>
      </w:r>
      <w:proofErr w:type="gramEnd"/>
      <w:r w:rsidRPr="000D0FF3">
        <w:t xml:space="preserve"> </w:t>
      </w:r>
      <w:proofErr w:type="gramStart"/>
      <w:r w:rsidRPr="000D0FF3">
        <w:t>Decline in drug overdose deaths after state policy changes-Florida, 2010-2012.</w:t>
      </w:r>
      <w:proofErr w:type="gramEnd"/>
      <w:r w:rsidRPr="000D0FF3">
        <w:t> </w:t>
      </w:r>
      <w:proofErr w:type="gramStart"/>
      <w:r w:rsidRPr="000D0FF3">
        <w:rPr>
          <w:i/>
          <w:iCs/>
        </w:rPr>
        <w:t>MMWR.</w:t>
      </w:r>
      <w:proofErr w:type="gramEnd"/>
      <w:r w:rsidRPr="000D0FF3">
        <w:rPr>
          <w:i/>
          <w:iCs/>
        </w:rPr>
        <w:t xml:space="preserve"> </w:t>
      </w:r>
      <w:proofErr w:type="gramStart"/>
      <w:r w:rsidRPr="000D0FF3">
        <w:rPr>
          <w:i/>
          <w:iCs/>
        </w:rPr>
        <w:t>Morbidity and mortality weekly report</w:t>
      </w:r>
      <w:r w:rsidRPr="000D0FF3">
        <w:t>, </w:t>
      </w:r>
      <w:r w:rsidRPr="000D0FF3">
        <w:rPr>
          <w:i/>
          <w:iCs/>
        </w:rPr>
        <w:t>63</w:t>
      </w:r>
      <w:r w:rsidRPr="000D0FF3">
        <w:t>(26), 569-574.</w:t>
      </w:r>
      <w:proofErr w:type="gramEnd"/>
    </w:p>
    <w:p w:rsidR="00676CCC" w:rsidRDefault="00676CCC" w:rsidP="006A7A5F">
      <w:pPr>
        <w:ind w:left="720" w:hanging="720"/>
      </w:pPr>
      <w:proofErr w:type="gramStart"/>
      <w:r w:rsidRPr="002E42C1">
        <w:t>Shi, L., &amp; Singh, D. (2017).</w:t>
      </w:r>
      <w:proofErr w:type="gramEnd"/>
      <w:r w:rsidRPr="002E42C1">
        <w:t> </w:t>
      </w:r>
      <w:r w:rsidRPr="002E42C1">
        <w:rPr>
          <w:i/>
          <w:iCs/>
        </w:rPr>
        <w:t>Delivering health care in America</w:t>
      </w:r>
      <w:r w:rsidRPr="002E42C1">
        <w:t xml:space="preserve"> (7th </w:t>
      </w:r>
      <w:proofErr w:type="gramStart"/>
      <w:r w:rsidRPr="002E42C1">
        <w:t>ed</w:t>
      </w:r>
      <w:proofErr w:type="gramEnd"/>
      <w:r w:rsidRPr="002E42C1">
        <w:t>.).</w:t>
      </w:r>
    </w:p>
    <w:p w:rsidR="004F7F4E" w:rsidRDefault="004F7F4E" w:rsidP="006A7A5F">
      <w:pPr>
        <w:ind w:left="720" w:hanging="720"/>
      </w:pPr>
    </w:p>
    <w:sectPr w:rsidR="004F7F4E" w:rsidSect="00C175C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F235C21D" w15:done="0"/>
  <w15:commentEx w15:paraId="B5792344" w15:done="0"/>
  <w15:commentEx w15:paraId="485BF7BD" w15:done="0"/>
  <w15:commentEx w15:paraId="7A0B27C5" w15:done="0"/>
  <w15:commentEx w15:paraId="E677C11A" w15:done="0"/>
  <w15:commentEx w15:paraId="866A7371" w15:done="0"/>
  <w15:commentEx w15:paraId="58AAE276" w15:done="0"/>
  <w15:commentEx w15:paraId="6268FD7D" w15:done="0"/>
  <w15:commentEx w15:paraId="688AF0A5" w15:done="0"/>
  <w15:commentEx w15:paraId="715B6403" w15:done="0"/>
  <w15:commentEx w15:paraId="D64DA6E1" w15:done="0"/>
  <w15:commentEx w15:paraId="D1181E6E" w15:done="0"/>
  <w15:commentEx w15:paraId="55E2081C" w15:done="0"/>
  <w15:commentEx w15:paraId="0D15C481" w15:done="0"/>
  <w15:commentEx w15:paraId="FF41141E" w15:done="0"/>
  <w15:commentEx w15:paraId="04441049" w15:done="0"/>
  <w15:commentEx w15:paraId="6DF0ABAE" w15:done="0"/>
  <w15:commentEx w15:paraId="DD373D39" w15:done="0"/>
  <w15:commentEx w15:paraId="154D6831" w15:done="0"/>
  <w15:commentEx w15:paraId="968C4FFD" w15:done="0"/>
  <w15:commentEx w15:paraId="69FF2AFB" w15:done="0"/>
  <w15:commentEx w15:paraId="F1369EF5" w15:done="0"/>
  <w15:commentEx w15:paraId="DB3C66E2" w15:done="0"/>
  <w15:commentEx w15:paraId="D6794E0E" w15:done="0"/>
  <w15:commentEx w15:paraId="E864FB97" w15:done="0"/>
  <w15:commentEx w15:paraId="2FEB3F16" w15:done="0"/>
  <w15:commentEx w15:paraId="0E358C24" w15:done="0"/>
  <w15:commentEx w15:paraId="9C9F44BC" w15:done="0"/>
  <w15:commentEx w15:paraId="7F930728" w15:done="0"/>
  <w15:commentEx w15:paraId="A2417FCC" w15:done="0"/>
  <w15:commentEx w15:paraId="CE40F7FF" w15:done="0"/>
  <w15:commentEx w15:paraId="133ABAA9" w15:done="0"/>
  <w15:commentEx w15:paraId="8B7CBA8B" w15:done="0"/>
  <w15:commentEx w15:paraId="1FA29843" w15:done="0"/>
  <w15:commentEx w15:paraId="2AE82BF5" w15:done="0"/>
  <w15:commentEx w15:paraId="67047C34" w15:done="0"/>
  <w15:commentEx w15:paraId="816FE45E" w15:done="0"/>
  <w15:commentEx w15:paraId="751590B6" w15:done="0"/>
  <w15:commentEx w15:paraId="C1164B97" w15:done="0"/>
  <w15:commentEx w15:paraId="1F0596E3" w15:done="0"/>
  <w15:commentEx w15:paraId="36A443A5" w15:done="0"/>
  <w15:commentEx w15:paraId="AD85B207" w15:done="0"/>
  <w15:commentEx w15:paraId="5F1F886A" w15:done="0"/>
  <w15:commentEx w15:paraId="96DC8F21" w15:done="0"/>
  <w15:commentEx w15:paraId="0DC7C91F" w15:done="0"/>
  <w15:commentEx w15:paraId="5470F88A" w15:done="0"/>
  <w15:commentEx w15:paraId="E1B2B6C4" w15:done="0"/>
  <w15:commentEx w15:paraId="49271F3E" w15:done="0"/>
  <w15:commentEx w15:paraId="54FE7AA7" w15:done="0"/>
  <w15:commentEx w15:paraId="AFD6918E" w15:done="0"/>
  <w15:commentEx w15:paraId="39562071" w15:done="0"/>
  <w15:commentEx w15:paraId="7DF6D7C1" w15:done="0"/>
  <w15:commentEx w15:paraId="9B3B1FD5" w15:done="0"/>
  <w15:commentEx w15:paraId="E86B12A3" w15:done="0"/>
  <w15:commentEx w15:paraId="429F004A" w15:done="0"/>
  <w15:commentEx w15:paraId="5DF2A4EA" w15:done="0"/>
  <w15:commentEx w15:paraId="BF2CC2F1" w15:done="0"/>
  <w15:commentEx w15:paraId="4D22CECD" w15:done="0"/>
  <w15:commentEx w15:paraId="8199A720" w15:done="0"/>
  <w15:commentEx w15:paraId="D6E76BAE" w15:done="0"/>
  <w15:commentEx w15:paraId="E3CBBC91" w15:done="0"/>
  <w15:commentEx w15:paraId="BE92E9D6" w15:done="0"/>
  <w15:commentEx w15:paraId="C53D5AA6" w15:done="0"/>
  <w15:commentEx w15:paraId="E33578F3" w15:done="0"/>
  <w15:commentEx w15:paraId="8062F615" w15:done="0"/>
  <w15:commentEx w15:paraId="43FD69D1" w15:done="0"/>
  <w15:commentEx w15:paraId="218FD856" w15:done="0"/>
  <w15:commentEx w15:paraId="9FB1B24E" w15:done="0"/>
  <w15:commentEx w15:paraId="2B8EE7C5" w15:done="0"/>
  <w15:commentEx w15:paraId="3A897887" w15:done="0"/>
  <w15:commentEx w15:paraId="6A33A711" w15:done="0"/>
  <w15:commentEx w15:paraId="1C2B77F1" w15:done="0"/>
  <w15:commentEx w15:paraId="0209C3DE" w15:done="0"/>
  <w15:commentEx w15:paraId="70CD9DBA" w15:done="0"/>
  <w15:commentEx w15:paraId="232D65B5" w15:done="0"/>
  <w15:commentEx w15:paraId="581F8D04" w15:done="0"/>
  <w15:commentEx w15:paraId="D097031F" w15:done="0"/>
  <w15:commentEx w15:paraId="4CE7B757" w15:done="0"/>
  <w15:commentEx w15:paraId="1FAC7FE4" w15:done="0"/>
  <w15:commentEx w15:paraId="D6CE0F85" w15:done="0"/>
  <w15:commentEx w15:paraId="24030F91" w15:done="0"/>
  <w15:commentEx w15:paraId="4519066E" w15:done="0"/>
  <w15:commentEx w15:paraId="E8C1F033" w15:done="0"/>
  <w15:commentEx w15:paraId="F2116D6E" w15:done="0"/>
  <w15:commentEx w15:paraId="A17255C1" w15:done="0"/>
  <w15:commentEx w15:paraId="27BDCBFB" w15:done="0"/>
  <w15:commentEx w15:paraId="D5E60C35" w15:done="0"/>
  <w15:commentEx w15:paraId="56926006" w15:done="0"/>
  <w15:commentEx w15:paraId="45250A48" w15:done="0"/>
  <w15:commentEx w15:paraId="B926E0BD" w15:done="0"/>
  <w15:commentEx w15:paraId="2922180C" w15:done="0"/>
  <w15:commentEx w15:paraId="82224796" w15:done="0"/>
  <w15:commentEx w15:paraId="B200E283" w15:done="0"/>
  <w15:commentEx w15:paraId="AA685079" w15:done="0"/>
  <w15:commentEx w15:paraId="E07A70DE" w15:done="0"/>
  <w15:commentEx w15:paraId="8D92BDA0" w15:done="0"/>
  <w15:commentEx w15:paraId="D956D037" w15:done="0"/>
  <w15:commentEx w15:paraId="B27FAB84" w15:done="0"/>
  <w15:commentEx w15:paraId="2ECD70CE" w15:done="0"/>
  <w15:commentEx w15:paraId="A9BE746E" w15:done="0"/>
  <w15:commentEx w15:paraId="DA4C4975" w15:done="0"/>
  <w15:commentEx w15:paraId="EE0CEA90" w15:done="0"/>
  <w15:commentEx w15:paraId="A6E6E0D0" w15:done="0"/>
  <w15:commentEx w15:paraId="8A2751CF" w15:done="0"/>
  <w15:commentEx w15:paraId="8C314C1A" w15:done="0"/>
  <w15:commentEx w15:paraId="8967F080" w15:done="0"/>
  <w15:commentEx w15:paraId="3D576D3B" w15:done="0"/>
  <w15:commentEx w15:paraId="E23D130E" w15:done="0"/>
  <w15:commentEx w15:paraId="66B56DED" w15:done="0"/>
  <w15:commentEx w15:paraId="931DAFCC" w15:done="0"/>
  <w15:commentEx w15:paraId="3093571C" w15:done="0"/>
  <w15:commentEx w15:paraId="9493383F" w15:done="0"/>
  <w15:commentEx w15:paraId="52ABDCCC" w15:done="0"/>
  <w15:commentEx w15:paraId="432635C4" w15:done="0"/>
  <w15:commentEx w15:paraId="88277A3D" w15:done="0"/>
  <w15:commentEx w15:paraId="4C6B0247" w15:done="0"/>
  <w15:commentEx w15:paraId="60B7D067" w15:done="0"/>
  <w15:commentEx w15:paraId="0CDA0FEF" w15:done="0"/>
  <w15:commentEx w15:paraId="276FA25E" w15:done="0"/>
  <w15:commentEx w15:paraId="68D11720" w15:done="0"/>
  <w15:commentEx w15:paraId="7EEEEE63" w15:done="0"/>
  <w15:commentEx w15:paraId="DB5319B2" w15:done="0"/>
  <w15:commentEx w15:paraId="A5CF665B" w15:done="0"/>
  <w15:commentEx w15:paraId="3E3009C9" w15:done="0"/>
  <w15:commentEx w15:paraId="C605B2F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3456" w:rsidRDefault="006C3456" w:rsidP="00C175C7">
      <w:pPr>
        <w:spacing w:line="240" w:lineRule="auto"/>
      </w:pPr>
      <w:r>
        <w:separator/>
      </w:r>
    </w:p>
  </w:endnote>
  <w:endnote w:type="continuationSeparator" w:id="0">
    <w:p w:rsidR="006C3456" w:rsidRDefault="006C3456" w:rsidP="00C175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B47" w:rsidRDefault="00E04B4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B47" w:rsidRDefault="00E04B4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B47" w:rsidRDefault="00E04B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3456" w:rsidRDefault="006C3456" w:rsidP="00C175C7">
      <w:pPr>
        <w:spacing w:line="240" w:lineRule="auto"/>
      </w:pPr>
      <w:r>
        <w:separator/>
      </w:r>
    </w:p>
  </w:footnote>
  <w:footnote w:type="continuationSeparator" w:id="0">
    <w:p w:rsidR="006C3456" w:rsidRDefault="006C3456" w:rsidP="00C175C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B47" w:rsidRDefault="00E04B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A5F" w:rsidRDefault="006A7A5F">
    <w:pPr>
      <w:pStyle w:val="Header"/>
    </w:pPr>
    <w:r>
      <w:t>HEALTHY PEOPLE 2020</w:t>
    </w:r>
    <w:r>
      <w:tab/>
    </w:r>
    <w:r>
      <w:tab/>
    </w:r>
    <w:sdt>
      <w:sdtPr>
        <w:id w:val="10262108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04B47">
          <w:rPr>
            <w:noProof/>
          </w:rPr>
          <w:t>7</w:t>
        </w:r>
        <w:r>
          <w:rPr>
            <w:noProof/>
          </w:rPr>
          <w:fldChar w:fldCharType="end"/>
        </w:r>
      </w:sdtContent>
    </w:sdt>
  </w:p>
  <w:p w:rsidR="006A7A5F" w:rsidRDefault="006A7A5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5C7" w:rsidRDefault="00C175C7">
    <w:pPr>
      <w:pStyle w:val="Header"/>
    </w:pPr>
    <w:r>
      <w:t>Running head: HEALTHY PEOPLE 2020</w:t>
    </w:r>
    <w:r>
      <w:tab/>
    </w:r>
    <w:r>
      <w:tab/>
    </w:r>
    <w:sdt>
      <w:sdtPr>
        <w:id w:val="-2402623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04B47">
          <w:rPr>
            <w:noProof/>
          </w:rPr>
          <w:t>1</w:t>
        </w:r>
        <w:r>
          <w:rPr>
            <w:noProof/>
          </w:rPr>
          <w:fldChar w:fldCharType="end"/>
        </w:r>
      </w:sdtContent>
    </w:sdt>
  </w:p>
  <w:p w:rsidR="00C175C7" w:rsidRDefault="00C175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910"/>
    <w:rsid w:val="000462CB"/>
    <w:rsid w:val="000D0FF3"/>
    <w:rsid w:val="001821CC"/>
    <w:rsid w:val="002512EB"/>
    <w:rsid w:val="002E42C1"/>
    <w:rsid w:val="002F0E3C"/>
    <w:rsid w:val="003070AF"/>
    <w:rsid w:val="004F7F4E"/>
    <w:rsid w:val="00676CCC"/>
    <w:rsid w:val="006A7A5F"/>
    <w:rsid w:val="006C3456"/>
    <w:rsid w:val="00733052"/>
    <w:rsid w:val="00742357"/>
    <w:rsid w:val="00963B06"/>
    <w:rsid w:val="00BA27AC"/>
    <w:rsid w:val="00BF6B3E"/>
    <w:rsid w:val="00C175C7"/>
    <w:rsid w:val="00D01910"/>
    <w:rsid w:val="00E04B47"/>
    <w:rsid w:val="00FE0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512E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12EB"/>
    <w:rPr>
      <w:rFonts w:ascii="Tahoma" w:hAnsi="Tahoma" w:cs="Tahoma"/>
      <w:sz w:val="16"/>
      <w:szCs w:val="16"/>
    </w:rPr>
  </w:style>
  <w:style w:type="character" w:styleId="Hyperlink">
    <w:name w:val="Hyperlink"/>
    <w:basedOn w:val="DefaultParagraphFont"/>
    <w:uiPriority w:val="99"/>
    <w:unhideWhenUsed/>
    <w:rsid w:val="004F7F4E"/>
    <w:rPr>
      <w:color w:val="0000FF" w:themeColor="hyperlink"/>
      <w:u w:val="single"/>
    </w:rPr>
  </w:style>
  <w:style w:type="paragraph" w:styleId="Header">
    <w:name w:val="header"/>
    <w:basedOn w:val="Normal"/>
    <w:link w:val="HeaderChar"/>
    <w:uiPriority w:val="99"/>
    <w:unhideWhenUsed/>
    <w:rsid w:val="00C175C7"/>
    <w:pPr>
      <w:tabs>
        <w:tab w:val="center" w:pos="4680"/>
        <w:tab w:val="right" w:pos="9360"/>
      </w:tabs>
      <w:spacing w:line="240" w:lineRule="auto"/>
    </w:pPr>
  </w:style>
  <w:style w:type="character" w:customStyle="1" w:styleId="HeaderChar">
    <w:name w:val="Header Char"/>
    <w:basedOn w:val="DefaultParagraphFont"/>
    <w:link w:val="Header"/>
    <w:uiPriority w:val="99"/>
    <w:rsid w:val="00C175C7"/>
  </w:style>
  <w:style w:type="paragraph" w:styleId="Footer">
    <w:name w:val="footer"/>
    <w:basedOn w:val="Normal"/>
    <w:link w:val="FooterChar"/>
    <w:uiPriority w:val="99"/>
    <w:unhideWhenUsed/>
    <w:rsid w:val="00C175C7"/>
    <w:pPr>
      <w:tabs>
        <w:tab w:val="center" w:pos="4680"/>
        <w:tab w:val="right" w:pos="9360"/>
      </w:tabs>
      <w:spacing w:line="240" w:lineRule="auto"/>
    </w:pPr>
  </w:style>
  <w:style w:type="character" w:customStyle="1" w:styleId="FooterChar">
    <w:name w:val="Footer Char"/>
    <w:basedOn w:val="DefaultParagraphFont"/>
    <w:link w:val="Footer"/>
    <w:uiPriority w:val="99"/>
    <w:rsid w:val="00C175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512E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12EB"/>
    <w:rPr>
      <w:rFonts w:ascii="Tahoma" w:hAnsi="Tahoma" w:cs="Tahoma"/>
      <w:sz w:val="16"/>
      <w:szCs w:val="16"/>
    </w:rPr>
  </w:style>
  <w:style w:type="character" w:styleId="Hyperlink">
    <w:name w:val="Hyperlink"/>
    <w:basedOn w:val="DefaultParagraphFont"/>
    <w:uiPriority w:val="99"/>
    <w:unhideWhenUsed/>
    <w:rsid w:val="004F7F4E"/>
    <w:rPr>
      <w:color w:val="0000FF" w:themeColor="hyperlink"/>
      <w:u w:val="single"/>
    </w:rPr>
  </w:style>
  <w:style w:type="paragraph" w:styleId="Header">
    <w:name w:val="header"/>
    <w:basedOn w:val="Normal"/>
    <w:link w:val="HeaderChar"/>
    <w:uiPriority w:val="99"/>
    <w:unhideWhenUsed/>
    <w:rsid w:val="00C175C7"/>
    <w:pPr>
      <w:tabs>
        <w:tab w:val="center" w:pos="4680"/>
        <w:tab w:val="right" w:pos="9360"/>
      </w:tabs>
      <w:spacing w:line="240" w:lineRule="auto"/>
    </w:pPr>
  </w:style>
  <w:style w:type="character" w:customStyle="1" w:styleId="HeaderChar">
    <w:name w:val="Header Char"/>
    <w:basedOn w:val="DefaultParagraphFont"/>
    <w:link w:val="Header"/>
    <w:uiPriority w:val="99"/>
    <w:rsid w:val="00C175C7"/>
  </w:style>
  <w:style w:type="paragraph" w:styleId="Footer">
    <w:name w:val="footer"/>
    <w:basedOn w:val="Normal"/>
    <w:link w:val="FooterChar"/>
    <w:uiPriority w:val="99"/>
    <w:unhideWhenUsed/>
    <w:rsid w:val="00C175C7"/>
    <w:pPr>
      <w:tabs>
        <w:tab w:val="center" w:pos="4680"/>
        <w:tab w:val="right" w:pos="9360"/>
      </w:tabs>
      <w:spacing w:line="240" w:lineRule="auto"/>
    </w:pPr>
  </w:style>
  <w:style w:type="character" w:customStyle="1" w:styleId="FooterChar">
    <w:name w:val="Footer Char"/>
    <w:basedOn w:val="DefaultParagraphFont"/>
    <w:link w:val="Footer"/>
    <w:uiPriority w:val="99"/>
    <w:rsid w:val="00C175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11/relationships/commentsExtended" Target="commentsExtended.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2000</Words>
  <Characters>11401</Characters>
  <Application>Microsoft Office Word</Application>
  <DocSecurity>0</DocSecurity>
  <Lines>95</Lines>
  <Paragraphs>26</Paragraphs>
  <ScaleCrop>false</ScaleCrop>
  <Company/>
  <LinksUpToDate>false</LinksUpToDate>
  <CharactersWithSpaces>13375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2018-03-11T17:25:00Z</dcterms:created>
  <dcterms:modified xsi:type="dcterms:W3CDTF">2018-03-11T17:25:00Z</dcterms:modified>
</cp:coreProperties>
</file>